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FEE4" w14:textId="77777777" w:rsidR="00EA6AEE" w:rsidRPr="0079691E" w:rsidRDefault="00EA6AEE" w:rsidP="00EA6AEE">
      <w:pPr>
        <w:pStyle w:val="a7"/>
        <w:snapToGrid w:val="0"/>
        <w:spacing w:after="0" w:line="360" w:lineRule="auto"/>
        <w:rPr>
          <w:rFonts w:ascii="黑体" w:eastAsia="黑体" w:hAnsi="黑体"/>
          <w:sz w:val="24"/>
        </w:rPr>
      </w:pPr>
      <w:bookmarkStart w:id="0" w:name="_Toc18859"/>
      <w:bookmarkStart w:id="1" w:name="_Toc28178"/>
      <w:r w:rsidRPr="0079691E">
        <w:rPr>
          <w:rFonts w:ascii="黑体" w:eastAsia="黑体" w:hAnsi="黑体"/>
          <w:sz w:val="24"/>
        </w:rPr>
        <w:t>附件</w:t>
      </w:r>
      <w:bookmarkEnd w:id="0"/>
      <w:bookmarkEnd w:id="1"/>
      <w:r w:rsidRPr="0079691E">
        <w:rPr>
          <w:rFonts w:ascii="黑体" w:eastAsia="黑体" w:hAnsi="黑体" w:hint="eastAsia"/>
          <w:sz w:val="24"/>
        </w:rPr>
        <w:t>3</w:t>
      </w:r>
    </w:p>
    <w:p w14:paraId="57476677" w14:textId="77777777" w:rsidR="00EA6AEE" w:rsidRPr="0079691E" w:rsidRDefault="00EA6AEE" w:rsidP="00EA6AEE">
      <w:pPr>
        <w:pStyle w:val="a7"/>
        <w:snapToGrid w:val="0"/>
        <w:spacing w:after="0" w:line="360" w:lineRule="auto"/>
        <w:jc w:val="center"/>
        <w:rPr>
          <w:rFonts w:ascii="方正小标宋简体" w:eastAsia="方正小标宋简体" w:hAnsi="方正小标宋简体"/>
          <w:sz w:val="28"/>
          <w:szCs w:val="28"/>
        </w:rPr>
      </w:pPr>
      <w:bookmarkStart w:id="2" w:name="_Toc9235"/>
      <w:bookmarkStart w:id="3" w:name="_Toc12578"/>
      <w:bookmarkStart w:id="4" w:name="_Toc10939"/>
      <w:r w:rsidRPr="0079691E">
        <w:rPr>
          <w:rFonts w:ascii="方正小标宋简体" w:eastAsia="方正小标宋简体" w:hAnsi="方正小标宋简体"/>
          <w:sz w:val="28"/>
          <w:szCs w:val="28"/>
        </w:rPr>
        <w:t>地方推进“双高计划”总结报</w:t>
      </w:r>
      <w:bookmarkStart w:id="5" w:name="_Toc22006"/>
      <w:bookmarkEnd w:id="2"/>
      <w:r w:rsidRPr="0079691E">
        <w:rPr>
          <w:rFonts w:ascii="方正小标宋简体" w:eastAsia="方正小标宋简体" w:hAnsi="方正小标宋简体"/>
          <w:sz w:val="28"/>
          <w:szCs w:val="28"/>
        </w:rPr>
        <w:t>告参考提纲</w:t>
      </w:r>
      <w:bookmarkEnd w:id="3"/>
      <w:bookmarkEnd w:id="4"/>
      <w:bookmarkEnd w:id="5"/>
    </w:p>
    <w:p w14:paraId="6932C3F6" w14:textId="77777777" w:rsidR="00EA6AEE" w:rsidRPr="0079691E" w:rsidRDefault="00EA6AEE" w:rsidP="00EA6AEE">
      <w:pPr>
        <w:snapToGrid w:val="0"/>
        <w:spacing w:after="0" w:line="360" w:lineRule="auto"/>
        <w:jc w:val="center"/>
        <w:rPr>
          <w:rFonts w:ascii="方正仿宋_GBK" w:eastAsia="方正仿宋_GBK" w:hAnsi="方正仿宋_GBK"/>
          <w:szCs w:val="32"/>
          <w:lang w:bidi="ar"/>
        </w:rPr>
      </w:pPr>
      <w:r w:rsidRPr="0079691E">
        <w:rPr>
          <w:rFonts w:ascii="方正仿宋_GBK" w:eastAsia="方正仿宋_GBK" w:hAnsi="方正仿宋_GBK"/>
          <w:szCs w:val="32"/>
          <w:lang w:bidi="ar"/>
        </w:rPr>
        <w:t>（报告总字数控制在10000字以内）</w:t>
      </w:r>
    </w:p>
    <w:p w14:paraId="5B94A150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  <w:b/>
          <w:bCs/>
        </w:rPr>
      </w:pPr>
      <w:bookmarkStart w:id="6" w:name="_Toc21617"/>
      <w:bookmarkStart w:id="7" w:name="_Toc30409"/>
      <w:bookmarkStart w:id="8" w:name="_Toc2132"/>
      <w:r w:rsidRPr="0079691E">
        <w:rPr>
          <w:rFonts w:ascii="方正仿宋_GBK" w:eastAsia="方正仿宋_GBK" w:hAnsi="方正仿宋_GBK"/>
          <w:b/>
          <w:bCs/>
        </w:rPr>
        <w:t>一、地方推进“双高计划”建设的情况</w:t>
      </w:r>
      <w:bookmarkEnd w:id="6"/>
      <w:bookmarkEnd w:id="7"/>
      <w:bookmarkEnd w:id="8"/>
    </w:p>
    <w:p w14:paraId="6FFD57F2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（一）本地推进“双高计划”的体制机制建设情况</w:t>
      </w:r>
    </w:p>
    <w:p w14:paraId="6523CF9B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（二）本地推进“双高计划”的政策支持情况</w:t>
      </w:r>
    </w:p>
    <w:p w14:paraId="29E04E58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（三）本地推进“双高计划”的资金支持情况</w:t>
      </w:r>
    </w:p>
    <w:p w14:paraId="1D2A4210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（四）本地“双高计划”的项目实施情况</w:t>
      </w:r>
    </w:p>
    <w:p w14:paraId="79352D36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  <w:b/>
          <w:bCs/>
        </w:rPr>
      </w:pPr>
      <w:bookmarkStart w:id="9" w:name="_Toc6733"/>
      <w:bookmarkStart w:id="10" w:name="_Toc10152"/>
      <w:bookmarkStart w:id="11" w:name="_Toc27839"/>
      <w:r w:rsidRPr="0079691E">
        <w:rPr>
          <w:rFonts w:ascii="方正仿宋_GBK" w:eastAsia="方正仿宋_GBK" w:hAnsi="方正仿宋_GBK"/>
          <w:b/>
          <w:bCs/>
        </w:rPr>
        <w:t>二、地方对“双高计划”建设单位的</w:t>
      </w:r>
      <w:r w:rsidRPr="0079691E">
        <w:rPr>
          <w:rFonts w:ascii="方正仿宋_GBK" w:eastAsia="方正仿宋_GBK" w:hAnsi="方正仿宋_GBK" w:hint="eastAsia"/>
          <w:b/>
          <w:bCs/>
        </w:rPr>
        <w:t>绩效评价</w:t>
      </w:r>
      <w:r w:rsidRPr="0079691E">
        <w:rPr>
          <w:rFonts w:ascii="方正仿宋_GBK" w:eastAsia="方正仿宋_GBK" w:hAnsi="方正仿宋_GBK"/>
          <w:b/>
          <w:bCs/>
        </w:rPr>
        <w:t>情况</w:t>
      </w:r>
      <w:bookmarkStart w:id="12" w:name="_Toc12770"/>
      <w:bookmarkStart w:id="13" w:name="_Toc24954"/>
      <w:bookmarkEnd w:id="9"/>
      <w:bookmarkEnd w:id="10"/>
      <w:bookmarkEnd w:id="11"/>
    </w:p>
    <w:p w14:paraId="081462D0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（一）本地“双高计划”的</w:t>
      </w:r>
      <w:r w:rsidRPr="0079691E">
        <w:rPr>
          <w:rFonts w:ascii="方正仿宋_GBK" w:eastAsia="方正仿宋_GBK" w:hAnsi="方正仿宋_GBK" w:hint="eastAsia"/>
        </w:rPr>
        <w:t>绩效评价</w:t>
      </w:r>
      <w:r w:rsidRPr="0079691E">
        <w:rPr>
          <w:rFonts w:ascii="方正仿宋_GBK" w:eastAsia="方正仿宋_GBK" w:hAnsi="方正仿宋_GBK"/>
        </w:rPr>
        <w:t>组织与实施情况</w:t>
      </w:r>
      <w:bookmarkEnd w:id="12"/>
      <w:bookmarkEnd w:id="13"/>
    </w:p>
    <w:p w14:paraId="111F7226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（二）本地“双高计划”建设单位评价得分和</w:t>
      </w:r>
      <w:r w:rsidRPr="0079691E">
        <w:rPr>
          <w:rFonts w:ascii="方正仿宋_GBK" w:eastAsia="方正仿宋_GBK" w:hAnsi="方正仿宋_GBK" w:hint="eastAsia"/>
        </w:rPr>
        <w:t>绩效评价</w:t>
      </w:r>
      <w:r w:rsidRPr="0079691E">
        <w:rPr>
          <w:rFonts w:ascii="方正仿宋_GBK" w:eastAsia="方正仿宋_GBK" w:hAnsi="方正仿宋_GBK"/>
        </w:rPr>
        <w:t>结论</w:t>
      </w:r>
    </w:p>
    <w:p w14:paraId="7E6AD233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  <w:b/>
          <w:bCs/>
        </w:rPr>
      </w:pPr>
      <w:bookmarkStart w:id="14" w:name="_Toc5572"/>
      <w:bookmarkStart w:id="15" w:name="_Toc27577"/>
      <w:bookmarkStart w:id="16" w:name="_Toc27127"/>
      <w:r w:rsidRPr="0079691E">
        <w:rPr>
          <w:rFonts w:ascii="方正仿宋_GBK" w:eastAsia="方正仿宋_GBK" w:hAnsi="方正仿宋_GBK"/>
          <w:b/>
          <w:bCs/>
        </w:rPr>
        <w:t>三、成效、问题与下一步工作考虑</w:t>
      </w:r>
      <w:bookmarkEnd w:id="14"/>
      <w:bookmarkEnd w:id="15"/>
      <w:bookmarkEnd w:id="16"/>
    </w:p>
    <w:p w14:paraId="630EE9C8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（一）本地推进“双高计划”的经验与成效</w:t>
      </w:r>
    </w:p>
    <w:p w14:paraId="4E2B9637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（二）本地推进“双高计划”的不足及成因</w:t>
      </w:r>
    </w:p>
    <w:p w14:paraId="792E9FC8" w14:textId="77777777" w:rsidR="00EA6AEE" w:rsidRPr="0079691E" w:rsidRDefault="00EA6AEE" w:rsidP="00EA6AEE">
      <w:pPr>
        <w:snapToGrid w:val="0"/>
        <w:spacing w:after="0" w:line="360" w:lineRule="auto"/>
        <w:ind w:firstLine="640"/>
        <w:rPr>
          <w:rFonts w:ascii="方正仿宋_GBK" w:eastAsia="方正仿宋_GBK" w:hAnsi="方正仿宋_GBK"/>
        </w:rPr>
      </w:pPr>
      <w:r w:rsidRPr="0079691E">
        <w:rPr>
          <w:rFonts w:ascii="方正仿宋_GBK" w:eastAsia="方正仿宋_GBK" w:hAnsi="方正仿宋_GBK"/>
        </w:rPr>
        <w:t>（三）下一步</w:t>
      </w:r>
      <w:r w:rsidRPr="0079691E">
        <w:rPr>
          <w:rFonts w:ascii="方正仿宋_GBK" w:eastAsia="方正仿宋_GBK" w:hAnsi="方正仿宋_GBK" w:hint="eastAsia"/>
        </w:rPr>
        <w:t>的</w:t>
      </w:r>
      <w:r w:rsidRPr="0079691E">
        <w:rPr>
          <w:rFonts w:ascii="方正仿宋_GBK" w:eastAsia="方正仿宋_GBK" w:hAnsi="方正仿宋_GBK"/>
        </w:rPr>
        <w:t>工作考虑</w:t>
      </w:r>
    </w:p>
    <w:p w14:paraId="7046391B" w14:textId="77777777" w:rsidR="00097A83" w:rsidRPr="00EA6AEE" w:rsidRDefault="00097A83"/>
    <w:sectPr w:rsidR="00097A83" w:rsidRPr="00EA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926F" w14:textId="77777777" w:rsidR="006A00A5" w:rsidRDefault="006A00A5" w:rsidP="00EA6AEE">
      <w:pPr>
        <w:spacing w:after="0" w:line="240" w:lineRule="auto"/>
      </w:pPr>
      <w:r>
        <w:separator/>
      </w:r>
    </w:p>
  </w:endnote>
  <w:endnote w:type="continuationSeparator" w:id="0">
    <w:p w14:paraId="16A3B958" w14:textId="77777777" w:rsidR="006A00A5" w:rsidRDefault="006A00A5" w:rsidP="00EA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088F" w14:textId="77777777" w:rsidR="006A00A5" w:rsidRDefault="006A00A5" w:rsidP="00EA6AEE">
      <w:pPr>
        <w:spacing w:after="0" w:line="240" w:lineRule="auto"/>
      </w:pPr>
      <w:r>
        <w:separator/>
      </w:r>
    </w:p>
  </w:footnote>
  <w:footnote w:type="continuationSeparator" w:id="0">
    <w:p w14:paraId="4C1D41FD" w14:textId="77777777" w:rsidR="006A00A5" w:rsidRDefault="006A00A5" w:rsidP="00EA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83"/>
    <w:rsid w:val="00097A83"/>
    <w:rsid w:val="006A00A5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BF375-7BB2-426A-B9CD-ED6B9FE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EE"/>
    <w:pPr>
      <w:spacing w:after="160" w:line="259" w:lineRule="auto"/>
    </w:pPr>
    <w:rPr>
      <w:rFonts w:ascii="等线" w:eastAsia="等线" w:hAnsi="等线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E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AE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AEE"/>
    <w:rPr>
      <w:sz w:val="18"/>
      <w:szCs w:val="18"/>
    </w:rPr>
  </w:style>
  <w:style w:type="paragraph" w:styleId="a7">
    <w:name w:val="Body Text"/>
    <w:basedOn w:val="a"/>
    <w:link w:val="a8"/>
    <w:unhideWhenUsed/>
    <w:qFormat/>
    <w:rsid w:val="00EA6AEE"/>
    <w:pPr>
      <w:widowControl w:val="0"/>
      <w:spacing w:after="120" w:line="240" w:lineRule="auto"/>
      <w:jc w:val="both"/>
    </w:pPr>
    <w:rPr>
      <w:kern w:val="2"/>
      <w:sz w:val="21"/>
      <w:szCs w:val="24"/>
    </w:rPr>
  </w:style>
  <w:style w:type="character" w:customStyle="1" w:styleId="a8">
    <w:name w:val="正文文本 字符"/>
    <w:basedOn w:val="a0"/>
    <w:link w:val="a7"/>
    <w:rsid w:val="00EA6AEE"/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杨昭</dc:creator>
  <cp:keywords/>
  <dc:description/>
  <cp:lastModifiedBy>杨昭</cp:lastModifiedBy>
  <cp:revision>2</cp:revision>
  <dcterms:created xsi:type="dcterms:W3CDTF">2024-09-29T00:50:00Z</dcterms:created>
  <dcterms:modified xsi:type="dcterms:W3CDTF">2024-09-29T00:50:00Z</dcterms:modified>
</cp:coreProperties>
</file>