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D9B8A">
      <w:pPr>
        <w:adjustRightInd w:val="0"/>
        <w:snapToGrid w:val="0"/>
        <w:spacing w:line="312" w:lineRule="auto"/>
        <w:rPr>
          <w:rFonts w:ascii="仿宋" w:hAnsi="仿宋" w:eastAsia="仿宋"/>
          <w:b/>
          <w:color w:val="000000"/>
          <w:szCs w:val="32"/>
        </w:rPr>
      </w:pPr>
      <w:r>
        <w:rPr>
          <w:rFonts w:hint="eastAsia" w:ascii="仿宋" w:hAnsi="仿宋" w:eastAsia="仿宋"/>
          <w:b/>
          <w:color w:val="000000"/>
          <w:szCs w:val="32"/>
        </w:rPr>
        <w:t>附件1：</w:t>
      </w:r>
    </w:p>
    <w:p w14:paraId="55906AE2">
      <w:pPr>
        <w:adjustRightInd w:val="0"/>
        <w:snapToGrid w:val="0"/>
        <w:spacing w:line="312" w:lineRule="auto"/>
        <w:jc w:val="center"/>
        <w:rPr>
          <w:rFonts w:ascii="楷体" w:hAnsi="楷体" w:eastAsia="楷体"/>
          <w:b/>
          <w:color w:val="000000"/>
          <w:szCs w:val="32"/>
        </w:rPr>
      </w:pPr>
      <w:r>
        <w:rPr>
          <w:rFonts w:hint="eastAsia" w:ascii="楷体" w:hAnsi="楷体" w:eastAsia="楷体"/>
          <w:b/>
          <w:color w:val="000000"/>
          <w:szCs w:val="32"/>
        </w:rPr>
        <w:t>“十四五”教育发展规划2021-2024年实施</w:t>
      </w:r>
      <w:r>
        <w:rPr>
          <w:rFonts w:hint="eastAsia" w:ascii="楷体" w:hAnsi="楷体" w:eastAsia="楷体"/>
          <w:b/>
          <w:color w:val="000000" w:themeColor="text1"/>
          <w:szCs w:val="32"/>
          <w14:textFill>
            <w14:solidFill>
              <w14:schemeClr w14:val="tx1"/>
            </w14:solidFill>
          </w14:textFill>
        </w:rPr>
        <w:t>评估</w:t>
      </w:r>
      <w:r>
        <w:rPr>
          <w:rFonts w:ascii="楷体" w:hAnsi="楷体" w:eastAsia="楷体"/>
          <w:b/>
          <w:color w:val="000000" w:themeColor="text1"/>
          <w:szCs w:val="32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楷体" w:hAnsi="楷体" w:eastAsia="楷体"/>
          <w:b/>
          <w:color w:val="000000" w:themeColor="text1"/>
          <w:szCs w:val="32"/>
          <w14:textFill>
            <w14:solidFill>
              <w14:schemeClr w14:val="tx1"/>
            </w14:solidFill>
          </w14:textFill>
        </w:rPr>
        <w:t>项</w:t>
      </w:r>
      <w:r>
        <w:rPr>
          <w:rFonts w:ascii="楷体" w:hAnsi="楷体" w:eastAsia="楷体"/>
          <w:b/>
          <w:color w:val="000000"/>
          <w:szCs w:val="32"/>
        </w:rPr>
        <w:t>报告</w:t>
      </w:r>
    </w:p>
    <w:p w14:paraId="208E7DB2">
      <w:pPr>
        <w:adjustRightInd w:val="0"/>
        <w:snapToGrid w:val="0"/>
        <w:spacing w:line="312" w:lineRule="auto"/>
        <w:jc w:val="center"/>
        <w:rPr>
          <w:rFonts w:ascii="楷体" w:hAnsi="楷体" w:eastAsia="楷体"/>
          <w:b/>
          <w:color w:val="000000"/>
          <w:szCs w:val="32"/>
        </w:rPr>
      </w:pPr>
      <w:r>
        <w:rPr>
          <w:rFonts w:hint="eastAsia" w:ascii="楷体" w:hAnsi="楷体" w:eastAsia="楷体"/>
          <w:b/>
          <w:color w:val="000000"/>
          <w:szCs w:val="32"/>
        </w:rPr>
        <w:t>体例和格式</w:t>
      </w:r>
    </w:p>
    <w:p w14:paraId="6C182995">
      <w:pPr>
        <w:numPr>
          <w:ilvl w:val="0"/>
          <w:numId w:val="1"/>
        </w:numPr>
        <w:adjustRightInd w:val="0"/>
        <w:snapToGrid w:val="0"/>
        <w:spacing w:line="312" w:lineRule="auto"/>
        <w:rPr>
          <w:rFonts w:ascii="楷体" w:hAnsi="楷体" w:eastAsia="楷体"/>
          <w:b/>
          <w:color w:val="000000"/>
          <w:szCs w:val="32"/>
        </w:rPr>
      </w:pPr>
      <w:r>
        <w:rPr>
          <w:rFonts w:hint="eastAsia" w:ascii="楷体" w:hAnsi="楷体" w:eastAsia="楷体"/>
          <w:b/>
          <w:color w:val="000000"/>
          <w:szCs w:val="32"/>
        </w:rPr>
        <w:t>总体要求</w:t>
      </w:r>
    </w:p>
    <w:p w14:paraId="48C990DA">
      <w:pPr>
        <w:adjustRightInd w:val="0"/>
        <w:snapToGrid w:val="0"/>
        <w:spacing w:line="312" w:lineRule="auto"/>
        <w:ind w:firstLine="640" w:firstLineChars="200"/>
        <w:rPr>
          <w:rFonts w:ascii="仿宋" w:hAnsi="仿宋" w:eastAsia="仿宋"/>
          <w:bCs/>
          <w:color w:val="000000"/>
          <w:szCs w:val="32"/>
        </w:rPr>
      </w:pPr>
      <w:r>
        <w:rPr>
          <w:rFonts w:hint="eastAsia" w:ascii="仿宋" w:hAnsi="仿宋" w:eastAsia="仿宋"/>
          <w:bCs/>
          <w:color w:val="000000"/>
          <w:szCs w:val="32"/>
        </w:rPr>
        <w:t>撰稿采取纪实法，内容应科学、客观、准确，图文并茂，紧扣主题，抓住关键，用数据和事实支撑，文字阐释简明扼要。每项2021-2024年实施</w:t>
      </w:r>
      <w:r>
        <w:rPr>
          <w:rFonts w:hint="eastAsia" w:ascii="仿宋" w:hAnsi="仿宋" w:eastAsia="仿宋"/>
          <w:bCs/>
          <w:color w:val="000000" w:themeColor="text1"/>
          <w:szCs w:val="32"/>
          <w14:textFill>
            <w14:solidFill>
              <w14:schemeClr w14:val="tx1"/>
            </w14:solidFill>
          </w14:textFill>
        </w:rPr>
        <w:t>评估分项</w:t>
      </w:r>
      <w:r>
        <w:rPr>
          <w:rFonts w:hint="eastAsia" w:ascii="仿宋" w:hAnsi="仿宋" w:eastAsia="仿宋"/>
          <w:bCs/>
          <w:color w:val="000000"/>
          <w:szCs w:val="32"/>
        </w:rPr>
        <w:t>报告字数1500-2000字，语言简练，特色鲜明。</w:t>
      </w:r>
    </w:p>
    <w:p w14:paraId="4BCC2E2F">
      <w:pPr>
        <w:adjustRightInd w:val="0"/>
        <w:snapToGrid w:val="0"/>
        <w:spacing w:line="312" w:lineRule="auto"/>
        <w:rPr>
          <w:rFonts w:ascii="仿宋" w:hAnsi="仿宋" w:eastAsia="仿宋"/>
          <w:b/>
          <w:color w:val="000000"/>
          <w:szCs w:val="32"/>
        </w:rPr>
      </w:pPr>
      <w:r>
        <w:rPr>
          <w:rFonts w:hint="eastAsia" w:ascii="仿宋" w:hAnsi="仿宋" w:eastAsia="仿宋"/>
          <w:b/>
          <w:color w:val="000000"/>
          <w:szCs w:val="32"/>
        </w:rPr>
        <w:t>二、格式要求</w:t>
      </w:r>
    </w:p>
    <w:p w14:paraId="0AF5CBF6">
      <w:pPr>
        <w:adjustRightInd w:val="0"/>
        <w:snapToGrid w:val="0"/>
        <w:spacing w:line="312" w:lineRule="auto"/>
        <w:ind w:firstLine="640" w:firstLineChars="200"/>
        <w:rPr>
          <w:rFonts w:ascii="仿宋" w:hAnsi="仿宋" w:eastAsia="仿宋"/>
          <w:bCs/>
          <w:color w:val="000000"/>
          <w:szCs w:val="32"/>
        </w:rPr>
      </w:pPr>
      <w:r>
        <w:rPr>
          <w:rFonts w:hint="eastAsia" w:ascii="仿宋" w:hAnsi="仿宋" w:eastAsia="仿宋"/>
          <w:bCs/>
          <w:color w:val="000000"/>
          <w:szCs w:val="32"/>
        </w:rPr>
        <w:t>一级标题：小三号、黑体，居中；</w:t>
      </w:r>
    </w:p>
    <w:p w14:paraId="5EAB5338">
      <w:pPr>
        <w:adjustRightInd w:val="0"/>
        <w:snapToGrid w:val="0"/>
        <w:spacing w:line="312" w:lineRule="auto"/>
        <w:ind w:firstLine="640" w:firstLineChars="200"/>
        <w:rPr>
          <w:rFonts w:ascii="仿宋" w:hAnsi="仿宋" w:eastAsia="仿宋"/>
          <w:bCs/>
          <w:color w:val="000000"/>
          <w:szCs w:val="32"/>
        </w:rPr>
      </w:pPr>
      <w:r>
        <w:rPr>
          <w:rFonts w:hint="eastAsia" w:ascii="仿宋" w:hAnsi="仿宋" w:eastAsia="仿宋"/>
          <w:bCs/>
          <w:color w:val="000000"/>
          <w:szCs w:val="32"/>
        </w:rPr>
        <w:t>二级标题：四号、黑体、首行缩进2字符；</w:t>
      </w:r>
    </w:p>
    <w:p w14:paraId="617D9D1E">
      <w:pPr>
        <w:adjustRightInd w:val="0"/>
        <w:snapToGrid w:val="0"/>
        <w:spacing w:line="312" w:lineRule="auto"/>
        <w:ind w:firstLine="640" w:firstLineChars="200"/>
        <w:rPr>
          <w:rFonts w:ascii="仿宋" w:hAnsi="仿宋" w:eastAsia="仿宋"/>
          <w:bCs/>
          <w:color w:val="000000"/>
          <w:szCs w:val="32"/>
        </w:rPr>
      </w:pPr>
      <w:r>
        <w:rPr>
          <w:rFonts w:hint="eastAsia" w:ascii="仿宋" w:hAnsi="仿宋" w:eastAsia="仿宋"/>
          <w:bCs/>
          <w:color w:val="000000"/>
          <w:szCs w:val="32"/>
        </w:rPr>
        <w:t>三级标题：小四号、宋体、加粗、首行缩进2字符；</w:t>
      </w:r>
    </w:p>
    <w:p w14:paraId="714C6CC5">
      <w:pPr>
        <w:adjustRightInd w:val="0"/>
        <w:snapToGrid w:val="0"/>
        <w:spacing w:line="312" w:lineRule="auto"/>
        <w:ind w:firstLine="640" w:firstLineChars="200"/>
        <w:rPr>
          <w:rFonts w:ascii="仿宋" w:hAnsi="仿宋" w:eastAsia="仿宋"/>
          <w:bCs/>
          <w:color w:val="000000"/>
          <w:szCs w:val="32"/>
        </w:rPr>
      </w:pPr>
      <w:r>
        <w:rPr>
          <w:rFonts w:hint="eastAsia" w:ascii="仿宋" w:hAnsi="仿宋" w:eastAsia="仿宋"/>
          <w:bCs/>
          <w:color w:val="000000"/>
          <w:szCs w:val="32"/>
        </w:rPr>
        <w:t>正文：小四号、宋体，单倍行距，首行缩进2字符。</w:t>
      </w:r>
    </w:p>
    <w:p w14:paraId="7F4FF48E">
      <w:pPr>
        <w:adjustRightInd w:val="0"/>
        <w:snapToGrid w:val="0"/>
        <w:spacing w:line="312" w:lineRule="auto"/>
        <w:rPr>
          <w:rFonts w:ascii="仿宋" w:hAnsi="仿宋" w:eastAsia="仿宋"/>
          <w:b/>
          <w:color w:val="000000"/>
          <w:szCs w:val="32"/>
        </w:rPr>
      </w:pPr>
      <w:r>
        <w:rPr>
          <w:rFonts w:hint="eastAsia" w:ascii="仿宋" w:hAnsi="仿宋" w:eastAsia="仿宋"/>
          <w:b/>
          <w:color w:val="000000"/>
          <w:szCs w:val="32"/>
        </w:rPr>
        <w:t>三、参考框架</w:t>
      </w:r>
    </w:p>
    <w:p w14:paraId="7C9E8970">
      <w:pPr>
        <w:adjustRightInd w:val="0"/>
        <w:snapToGrid w:val="0"/>
        <w:spacing w:line="312" w:lineRule="auto"/>
        <w:jc w:val="center"/>
        <w:rPr>
          <w:rFonts w:ascii="黑体" w:hAnsi="黑体" w:eastAsia="黑体"/>
          <w:b/>
          <w:color w:val="000000"/>
          <w:sz w:val="30"/>
          <w:szCs w:val="30"/>
        </w:rPr>
      </w:pPr>
      <w:r>
        <w:rPr>
          <w:rFonts w:hint="eastAsia" w:ascii="黑体" w:hAnsi="黑体" w:eastAsia="黑体"/>
          <w:b/>
          <w:color w:val="000000"/>
          <w:sz w:val="30"/>
          <w:szCs w:val="30"/>
        </w:rPr>
        <w:t>战略任务名称（一级标题）</w:t>
      </w:r>
    </w:p>
    <w:p w14:paraId="0D9C884B">
      <w:pPr>
        <w:spacing w:line="300" w:lineRule="auto"/>
        <w:ind w:firstLine="516" w:firstLineChars="150"/>
        <w:rPr>
          <w:rFonts w:ascii="黑体" w:hAnsi="黑体" w:eastAsia="黑体" w:cs="楷体"/>
          <w:spacing w:val="29"/>
          <w:sz w:val="28"/>
          <w:szCs w:val="28"/>
        </w:rPr>
      </w:pPr>
      <w:r>
        <w:rPr>
          <w:rFonts w:hint="eastAsia" w:ascii="黑体" w:hAnsi="黑体" w:eastAsia="黑体" w:cs="楷体"/>
          <w:spacing w:val="32"/>
          <w:sz w:val="28"/>
          <w:szCs w:val="28"/>
        </w:rPr>
        <w:t>（一）</w:t>
      </w:r>
      <w:r>
        <w:rPr>
          <w:rFonts w:ascii="黑体" w:hAnsi="黑体" w:eastAsia="黑体" w:cs="楷体"/>
          <w:spacing w:val="29"/>
          <w:sz w:val="28"/>
          <w:szCs w:val="28"/>
        </w:rPr>
        <w:t>规划实施总体进展和成效</w:t>
      </w:r>
      <w:r>
        <w:rPr>
          <w:rFonts w:hint="eastAsia" w:ascii="黑体" w:hAnsi="黑体" w:eastAsia="黑体" w:cs="楷体"/>
          <w:spacing w:val="29"/>
          <w:sz w:val="28"/>
          <w:szCs w:val="28"/>
        </w:rPr>
        <w:t>（二级标题）</w:t>
      </w:r>
    </w:p>
    <w:p w14:paraId="7689282C">
      <w:pPr>
        <w:spacing w:line="300" w:lineRule="auto"/>
        <w:ind w:firstLine="501" w:firstLineChars="195"/>
        <w:rPr>
          <w:rFonts w:cs="仿宋" w:asciiTheme="minorEastAsia" w:hAnsiTheme="minorEastAsia" w:eastAsiaTheme="minorEastAsia"/>
          <w:b/>
          <w:bCs/>
          <w:spacing w:val="8"/>
          <w:sz w:val="24"/>
          <w:szCs w:val="24"/>
        </w:rPr>
      </w:pPr>
      <w:r>
        <w:rPr>
          <w:rFonts w:cs="仿宋" w:asciiTheme="minorEastAsia" w:hAnsiTheme="minorEastAsia" w:eastAsiaTheme="minorEastAsia"/>
          <w:b/>
          <w:bCs/>
          <w:spacing w:val="8"/>
          <w:sz w:val="24"/>
          <w:szCs w:val="24"/>
        </w:rPr>
        <w:t>1.主要目标指标落实情况</w:t>
      </w:r>
      <w:r>
        <w:rPr>
          <w:rFonts w:cs="仿宋" w:asciiTheme="minorEastAsia" w:hAnsiTheme="minorEastAsia" w:eastAsiaTheme="minorEastAsia"/>
          <w:b/>
          <w:bCs/>
          <w:color w:val="000000" w:themeColor="text1"/>
          <w:spacing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cs="仿宋" w:asciiTheme="minorEastAsia" w:hAnsiTheme="minorEastAsia" w:eastAsiaTheme="minorEastAsia"/>
          <w:b/>
          <w:bCs/>
          <w:spacing w:val="8"/>
          <w:sz w:val="24"/>
          <w:szCs w:val="24"/>
        </w:rPr>
        <w:t>（三级标题）</w:t>
      </w:r>
    </w:p>
    <w:p w14:paraId="5DBFF2EB">
      <w:pPr>
        <w:ind w:firstLine="512" w:firstLineChars="200"/>
        <w:rPr>
          <w:rFonts w:cs="仿宋" w:asciiTheme="minorEastAsia" w:hAnsiTheme="minorEastAsia" w:eastAsiaTheme="minorEastAsia"/>
          <w:spacing w:val="8"/>
          <w:sz w:val="24"/>
          <w:szCs w:val="24"/>
        </w:rPr>
      </w:pPr>
      <w:r>
        <w:rPr>
          <w:rFonts w:cs="仿宋" w:asciiTheme="minorEastAsia" w:hAnsiTheme="minorEastAsia" w:eastAsiaTheme="minorEastAsia"/>
          <w:spacing w:val="8"/>
          <w:sz w:val="24"/>
          <w:szCs w:val="24"/>
        </w:rPr>
        <w:t>“十四五”规划中主要指标和章节指标实现进度、预期展望及相关说明等</w:t>
      </w:r>
      <w:r>
        <w:rPr>
          <w:rFonts w:hint="eastAsia" w:cs="仿宋" w:asciiTheme="minorEastAsia" w:hAnsiTheme="minorEastAsia" w:eastAsiaTheme="minorEastAsia"/>
          <w:spacing w:val="8"/>
          <w:sz w:val="24"/>
          <w:szCs w:val="24"/>
        </w:rPr>
        <w:t>。</w:t>
      </w:r>
      <w:r>
        <w:rPr>
          <w:rFonts w:hint="eastAsia" w:asciiTheme="minorEastAsia" w:hAnsiTheme="minorEastAsia" w:eastAsiaTheme="minorEastAsia"/>
          <w:sz w:val="24"/>
          <w:szCs w:val="24"/>
        </w:rPr>
        <w:t>（正文）</w:t>
      </w:r>
    </w:p>
    <w:p w14:paraId="255AA1EC">
      <w:pPr>
        <w:spacing w:line="300" w:lineRule="auto"/>
        <w:ind w:firstLine="501" w:firstLineChars="195"/>
        <w:rPr>
          <w:rFonts w:cs="仿宋" w:asciiTheme="minorEastAsia" w:hAnsiTheme="minorEastAsia" w:eastAsiaTheme="minorEastAsia"/>
          <w:b/>
          <w:bCs/>
          <w:spacing w:val="8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b/>
          <w:bCs/>
          <w:spacing w:val="8"/>
          <w:sz w:val="24"/>
          <w:szCs w:val="24"/>
        </w:rPr>
        <w:t>2.</w:t>
      </w:r>
      <w:r>
        <w:rPr>
          <w:rFonts w:cs="仿宋" w:asciiTheme="minorEastAsia" w:hAnsiTheme="minorEastAsia" w:eastAsiaTheme="minorEastAsia"/>
          <w:b/>
          <w:bCs/>
          <w:spacing w:val="8"/>
          <w:sz w:val="24"/>
          <w:szCs w:val="24"/>
        </w:rPr>
        <w:t>重大战略任务进展情况</w:t>
      </w:r>
      <w:r>
        <w:rPr>
          <w:rFonts w:cs="仿宋" w:asciiTheme="minorEastAsia" w:hAnsiTheme="minorEastAsia" w:eastAsiaTheme="minorEastAsia"/>
          <w:b/>
          <w:bCs/>
          <w:color w:val="000000" w:themeColor="text1"/>
          <w:spacing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68386F3E">
      <w:pPr>
        <w:ind w:firstLine="512" w:firstLineChars="200"/>
        <w:rPr>
          <w:rFonts w:cs="仿宋" w:asciiTheme="minorEastAsia" w:hAnsiTheme="minorEastAsia" w:eastAsiaTheme="minorEastAsia"/>
          <w:spacing w:val="8"/>
          <w:sz w:val="24"/>
          <w:szCs w:val="24"/>
        </w:rPr>
      </w:pPr>
      <w:r>
        <w:rPr>
          <w:rFonts w:cs="仿宋" w:asciiTheme="minorEastAsia" w:hAnsiTheme="minorEastAsia" w:eastAsiaTheme="minorEastAsia"/>
          <w:spacing w:val="8"/>
          <w:sz w:val="24"/>
          <w:szCs w:val="24"/>
        </w:rPr>
        <w:t>“十四五”规划中重大战略、重要任务、重大工程实施进展，取得成绩及经验做法等</w:t>
      </w:r>
      <w:r>
        <w:rPr>
          <w:rFonts w:hint="eastAsia" w:cs="仿宋" w:asciiTheme="minorEastAsia" w:hAnsiTheme="minorEastAsia" w:eastAsiaTheme="minorEastAsia"/>
          <w:spacing w:val="8"/>
          <w:sz w:val="24"/>
          <w:szCs w:val="24"/>
        </w:rPr>
        <w:t>。</w:t>
      </w:r>
    </w:p>
    <w:p w14:paraId="3C10A8D3">
      <w:pPr>
        <w:spacing w:line="300" w:lineRule="auto"/>
        <w:ind w:firstLine="501" w:firstLineChars="195"/>
        <w:rPr>
          <w:rFonts w:cs="仿宋" w:asciiTheme="minorEastAsia" w:hAnsiTheme="minorEastAsia" w:eastAsiaTheme="minorEastAsia"/>
          <w:b/>
          <w:bCs/>
          <w:spacing w:val="8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b/>
          <w:bCs/>
          <w:spacing w:val="8"/>
          <w:sz w:val="24"/>
          <w:szCs w:val="24"/>
        </w:rPr>
        <w:t>3.</w:t>
      </w:r>
      <w:r>
        <w:rPr>
          <w:rFonts w:cs="仿宋" w:asciiTheme="minorEastAsia" w:hAnsiTheme="minorEastAsia" w:eastAsiaTheme="minorEastAsia"/>
          <w:b/>
          <w:bCs/>
          <w:spacing w:val="8"/>
          <w:sz w:val="24"/>
          <w:szCs w:val="24"/>
        </w:rPr>
        <w:t>重大改革举措推进情况</w:t>
      </w:r>
      <w:r>
        <w:rPr>
          <w:rFonts w:cs="仿宋" w:asciiTheme="minorEastAsia" w:hAnsiTheme="minorEastAsia" w:eastAsiaTheme="minorEastAsia"/>
          <w:b/>
          <w:bCs/>
          <w:color w:val="000000" w:themeColor="text1"/>
          <w:spacing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553B30C7">
      <w:pPr>
        <w:ind w:firstLine="512" w:firstLineChars="200"/>
        <w:rPr>
          <w:rFonts w:cs="仿宋" w:asciiTheme="minorEastAsia" w:hAnsiTheme="minorEastAsia" w:eastAsiaTheme="minorEastAsia"/>
          <w:spacing w:val="8"/>
          <w:sz w:val="24"/>
          <w:szCs w:val="24"/>
        </w:rPr>
      </w:pPr>
      <w:r>
        <w:rPr>
          <w:rFonts w:cs="仿宋" w:asciiTheme="minorEastAsia" w:hAnsiTheme="minorEastAsia" w:eastAsiaTheme="minorEastAsia"/>
          <w:spacing w:val="8"/>
          <w:sz w:val="24"/>
          <w:szCs w:val="24"/>
        </w:rPr>
        <w:t>“十四五”规划中重大改革任务实施进展及创新做法等</w:t>
      </w:r>
      <w:r>
        <w:rPr>
          <w:rFonts w:hint="eastAsia" w:cs="仿宋" w:asciiTheme="minorEastAsia" w:hAnsiTheme="minorEastAsia" w:eastAsiaTheme="minorEastAsia"/>
          <w:spacing w:val="8"/>
          <w:sz w:val="24"/>
          <w:szCs w:val="24"/>
        </w:rPr>
        <w:t>。</w:t>
      </w:r>
    </w:p>
    <w:p w14:paraId="61CDF116">
      <w:pPr>
        <w:spacing w:line="300" w:lineRule="auto"/>
        <w:ind w:firstLine="501" w:firstLineChars="195"/>
        <w:rPr>
          <w:rFonts w:cs="仿宋" w:asciiTheme="minorEastAsia" w:hAnsiTheme="minorEastAsia" w:eastAsiaTheme="minorEastAsia"/>
          <w:b/>
          <w:bCs/>
          <w:spacing w:val="8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b/>
          <w:bCs/>
          <w:spacing w:val="8"/>
          <w:sz w:val="24"/>
          <w:szCs w:val="24"/>
        </w:rPr>
        <w:t>4.</w:t>
      </w:r>
      <w:r>
        <w:rPr>
          <w:rFonts w:cs="仿宋" w:asciiTheme="minorEastAsia" w:hAnsiTheme="minorEastAsia" w:eastAsiaTheme="minorEastAsia"/>
          <w:b/>
          <w:bCs/>
          <w:spacing w:val="8"/>
          <w:sz w:val="24"/>
          <w:szCs w:val="24"/>
        </w:rPr>
        <w:t>创新规划实施机制的主要做法</w:t>
      </w:r>
      <w:r>
        <w:rPr>
          <w:rFonts w:cs="仿宋" w:asciiTheme="minorEastAsia" w:hAnsiTheme="minorEastAsia" w:eastAsiaTheme="minorEastAsia"/>
          <w:b/>
          <w:bCs/>
          <w:color w:val="000000" w:themeColor="text1"/>
          <w:spacing w:val="8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56ED1BC4">
      <w:pPr>
        <w:ind w:firstLine="512" w:firstLineChars="200"/>
        <w:rPr>
          <w:rFonts w:cs="仿宋" w:asciiTheme="minorEastAsia" w:hAnsiTheme="minorEastAsia" w:eastAsiaTheme="minorEastAsia"/>
          <w:spacing w:val="8"/>
          <w:sz w:val="24"/>
          <w:szCs w:val="24"/>
        </w:rPr>
      </w:pPr>
      <w:r>
        <w:rPr>
          <w:rFonts w:cs="仿宋" w:asciiTheme="minorEastAsia" w:hAnsiTheme="minorEastAsia" w:eastAsiaTheme="minorEastAsia"/>
          <w:spacing w:val="8"/>
          <w:sz w:val="24"/>
          <w:szCs w:val="24"/>
        </w:rPr>
        <w:t>为推进落实“十四五”规划目标任务，地方和高校在任务分工、规划衔接、监测评估、政策支撑、要素保障等方面的创新做法。</w:t>
      </w:r>
    </w:p>
    <w:p w14:paraId="64EC4512">
      <w:pPr>
        <w:spacing w:line="300" w:lineRule="auto"/>
        <w:ind w:firstLine="516" w:firstLineChars="150"/>
        <w:rPr>
          <w:rFonts w:ascii="黑体" w:hAnsi="黑体" w:eastAsia="黑体" w:cs="楷体"/>
          <w:spacing w:val="32"/>
          <w:sz w:val="28"/>
          <w:szCs w:val="28"/>
        </w:rPr>
      </w:pPr>
      <w:r>
        <w:rPr>
          <w:rFonts w:hint="eastAsia" w:ascii="黑体" w:hAnsi="黑体" w:eastAsia="黑体" w:cs="楷体"/>
          <w:spacing w:val="32"/>
          <w:sz w:val="28"/>
          <w:szCs w:val="28"/>
        </w:rPr>
        <w:t>（二）</w:t>
      </w:r>
      <w:r>
        <w:rPr>
          <w:rFonts w:ascii="黑体" w:hAnsi="黑体" w:eastAsia="黑体" w:cs="楷体"/>
          <w:spacing w:val="32"/>
          <w:sz w:val="28"/>
          <w:szCs w:val="28"/>
        </w:rPr>
        <w:t>规划实施面临的主要问题和风险挑战</w:t>
      </w:r>
      <w:r>
        <w:rPr>
          <w:rFonts w:ascii="黑体" w:hAnsi="黑体" w:eastAsia="黑体" w:cs="楷体"/>
          <w:color w:val="000000" w:themeColor="text1"/>
          <w:spacing w:val="3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382DD6D4">
      <w:pPr>
        <w:ind w:firstLine="512" w:firstLineChars="200"/>
        <w:rPr>
          <w:rFonts w:cs="仿宋" w:asciiTheme="minorEastAsia" w:hAnsiTheme="minorEastAsia" w:eastAsiaTheme="minorEastAsia"/>
          <w:spacing w:val="8"/>
          <w:sz w:val="24"/>
          <w:szCs w:val="24"/>
        </w:rPr>
      </w:pPr>
      <w:r>
        <w:rPr>
          <w:rFonts w:cs="仿宋" w:asciiTheme="minorEastAsia" w:hAnsiTheme="minorEastAsia" w:eastAsiaTheme="minorEastAsia"/>
          <w:spacing w:val="8"/>
          <w:sz w:val="24"/>
          <w:szCs w:val="24"/>
        </w:rPr>
        <w:t>研判内外部形势变化对实施“十四五”规划产生的影响，分析完成“十四五”规划各项目标任务面临的主要问题和挑战。</w:t>
      </w:r>
    </w:p>
    <w:p w14:paraId="3CAE4975">
      <w:pPr>
        <w:spacing w:line="300" w:lineRule="auto"/>
        <w:ind w:firstLine="516" w:firstLineChars="150"/>
        <w:rPr>
          <w:rFonts w:ascii="黑体" w:hAnsi="黑体" w:eastAsia="黑体" w:cs="楷体"/>
          <w:spacing w:val="32"/>
          <w:sz w:val="28"/>
          <w:szCs w:val="28"/>
        </w:rPr>
      </w:pPr>
      <w:r>
        <w:rPr>
          <w:rFonts w:hint="eastAsia" w:ascii="黑体" w:hAnsi="黑体" w:eastAsia="黑体" w:cs="楷体"/>
          <w:spacing w:val="32"/>
          <w:sz w:val="28"/>
          <w:szCs w:val="28"/>
        </w:rPr>
        <w:t>（三）</w:t>
      </w:r>
      <w:r>
        <w:rPr>
          <w:rFonts w:ascii="黑体" w:hAnsi="黑体" w:eastAsia="黑体" w:cs="楷体"/>
          <w:spacing w:val="32"/>
          <w:sz w:val="28"/>
          <w:szCs w:val="28"/>
        </w:rPr>
        <w:t>进一步推进规划实施的对策建议</w:t>
      </w:r>
      <w:bookmarkStart w:id="0" w:name="_GoBack"/>
      <w:r>
        <w:rPr>
          <w:rFonts w:ascii="黑体" w:hAnsi="黑体" w:eastAsia="黑体" w:cs="楷体"/>
          <w:color w:val="000000" w:themeColor="text1"/>
          <w:spacing w:val="32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  <w:bookmarkEnd w:id="0"/>
    </w:p>
    <w:p w14:paraId="142AF202">
      <w:pPr>
        <w:ind w:firstLine="512" w:firstLineChars="200"/>
        <w:rPr>
          <w:rFonts w:cs="仿宋" w:asciiTheme="minorEastAsia" w:hAnsiTheme="minorEastAsia" w:eastAsiaTheme="minorEastAsia"/>
          <w:spacing w:val="8"/>
          <w:sz w:val="24"/>
          <w:szCs w:val="24"/>
        </w:rPr>
      </w:pPr>
      <w:r>
        <w:rPr>
          <w:rFonts w:cs="仿宋" w:asciiTheme="minorEastAsia" w:hAnsiTheme="minorEastAsia" w:eastAsiaTheme="minorEastAsia"/>
          <w:spacing w:val="8"/>
          <w:sz w:val="24"/>
          <w:szCs w:val="24"/>
        </w:rPr>
        <w:t>研究提出下一步推动规划实施的思路举措，以及相关意见建议。</w:t>
      </w:r>
    </w:p>
    <w:p w14:paraId="55B817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6A1E7E"/>
    <w:multiLevelType w:val="singleLevel"/>
    <w:tmpl w:val="E36A1E7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ZTRjMGNlNDQ3M2UyNThhNzQyMGU1YzI1ODg5ZmQifQ=="/>
  </w:docVars>
  <w:rsids>
    <w:rsidRoot w:val="68865DB3"/>
    <w:rsid w:val="00107405"/>
    <w:rsid w:val="00226560"/>
    <w:rsid w:val="00355D9C"/>
    <w:rsid w:val="00E06B7C"/>
    <w:rsid w:val="03BC040E"/>
    <w:rsid w:val="05595CE0"/>
    <w:rsid w:val="16334AE9"/>
    <w:rsid w:val="68865DB3"/>
    <w:rsid w:val="70DE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577</Words>
  <Characters>605</Characters>
  <Lines>4</Lines>
  <Paragraphs>1</Paragraphs>
  <TotalTime>10</TotalTime>
  <ScaleCrop>false</ScaleCrop>
  <LinksUpToDate>false</LinksUpToDate>
  <CharactersWithSpaces>605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2023-06-26T06:49:00Z</dcterms:created>
  <dc:creator>智慧云集</dc:creator>
  <cp:lastModifiedBy>智慧云集</cp:lastModifiedBy>
  <cp:lastPrinted>2023-06-26T07:32:00Z</cp:lastPrinted>
  <dcterms:modified xsi:type="dcterms:W3CDTF">2024-11-25T02:39:18Z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ADBA1E4BF80540318F735E3CB04FBC69_11</vt:lpwstr>
  </property>
</Properties>
</file>